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BC" w:rsidRPr="007F64B6" w:rsidRDefault="004D43BC" w:rsidP="00291F3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Процедуры входящие</w:t>
      </w:r>
      <w:r w:rsidR="00A0417A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стоимость </w:t>
      </w:r>
      <w:r w:rsidR="00076EC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лечения по санаторно-курортной путевк</w:t>
      </w:r>
      <w:r w:rsidR="00CB303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</w:p>
    <w:p w:rsidR="009023A3" w:rsidRPr="007F64B6" w:rsidRDefault="009023A3" w:rsidP="009023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стоимость </w:t>
      </w:r>
      <w:r w:rsidR="00076EC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лечения</w:t>
      </w: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входит:</w:t>
      </w:r>
    </w:p>
    <w:p w:rsidR="0006199D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Вид и количество лечебных процедур определяется лечащим врачом на основании стандартов санаторно-курортного лечения в зависимости от стадии и выраженности основного и сопутствующих заболеваний в пределах средств, отведенных на лечение из общей стоимости путевки. </w:t>
      </w:r>
    </w:p>
    <w:p w:rsidR="004D43BC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1. Две из основных процедур: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06199D" w:rsidRPr="00291F35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инеральная ванна*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инеральная ванна с горизонтальным подводным вытяжением**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скусственные ванны (морские, хвойные, жемчужные,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йодобромные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, тонус (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А, С,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П, </w:t>
      </w:r>
      <w:proofErr w:type="gramStart"/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), скипидарные,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пантогематогеновые</w:t>
      </w:r>
      <w:proofErr w:type="spellEnd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р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учной массаж (15 минут)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91F35">
        <w:rPr>
          <w:rFonts w:ascii="Arial" w:hAnsi="Arial" w:cs="Arial"/>
          <w:sz w:val="12"/>
          <w:szCs w:val="12"/>
        </w:rPr>
        <w:t xml:space="preserve">Примечание: </w:t>
      </w:r>
      <w:r w:rsidRPr="00291F35">
        <w:rPr>
          <w:rFonts w:ascii="Arial" w:hAnsi="Arial" w:cs="Arial"/>
          <w:sz w:val="12"/>
          <w:szCs w:val="12"/>
        </w:rPr>
        <w:br/>
        <w:t xml:space="preserve">* основные процедуры отпускаются по назначению лечащего врача с учетом медицинских показаний и противопоказаний для санаторно-курортного лечения (приказ МЗ РФ от 22.12.1999г № 99/227) по схемам №№ 1,2,3 и ослабленной схеме. На курс лечения назначается не менее 7 процедур. 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91F35">
        <w:rPr>
          <w:rFonts w:ascii="Arial" w:hAnsi="Arial" w:cs="Arial"/>
          <w:sz w:val="12"/>
          <w:szCs w:val="12"/>
        </w:rPr>
        <w:t>** минеральная ванна с горизонтальным подводным вытяжением назначается по рекомендации невролога после 3 входных ванн, при наличии компьютерной томографии (рентгенологического обследования)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C150A5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2. Одна </w:t>
      </w:r>
      <w:r w:rsidR="00C150A5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три дополнительных процедуры: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1. Лечебный душ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: ц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иркулярный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ождевой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осходящий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Ш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арко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иши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2. Массаж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: 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еханический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п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одводный душ массаж</w:t>
      </w:r>
    </w:p>
    <w:p w:rsidR="00C150A5" w:rsidRPr="00291F35" w:rsidRDefault="00C150A5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. Грязевые аппликации </w:t>
      </w:r>
    </w:p>
    <w:p w:rsidR="004D43BC" w:rsidRPr="00291F35" w:rsidRDefault="001801A1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. Аппаратная физиотерапия: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г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альванизация (аппарат Поток)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л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екарственный электрофорез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мпульсная терапия: ДДТ СМТ-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амплипульс</w:t>
      </w:r>
      <w:proofErr w:type="spellEnd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люктуорзиация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(АСБ)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арсонавлизация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(аппарат Искра)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ндуктотерапия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(аппарат ИКВ −4)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у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льтравысокочастотная (УВЧ)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верхвысокочастотная терапия (аппарат Волна, Ранет)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КВЧ терапия (Электроника 1001)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н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изкочастотная 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магнитотерапия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(Полюс)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нфракрасное излучение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УФО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у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льтразвуковая терапия (аппарат УЗТ-107Ф)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ветолечение (Соллюкс, 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Биоптрон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ветопунктура</w:t>
      </w:r>
      <w:proofErr w:type="spellEnd"/>
    </w:p>
    <w:p w:rsidR="001801A1" w:rsidRPr="00291F35" w:rsidRDefault="001801A1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. Ингаляции </w:t>
      </w:r>
    </w:p>
    <w:p w:rsidR="001801A1" w:rsidRPr="00291F35" w:rsidRDefault="001801A1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Спелеотерапия</w:t>
      </w:r>
      <w:proofErr w:type="spellEnd"/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. Внутритканевая электростимуляция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: л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азеротерапия (Скаляр 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Панатрон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3. Одна </w:t>
      </w:r>
      <w:r w:rsidR="001801A1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три процедуры местного действия: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Малые радоновые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1801A1" w:rsidRPr="00291F35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рошение глаз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о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рошение лица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рригации десен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уш головы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Гинекологические орошения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Малые грязевые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влагалищные грязевые ванночки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ректальные грязевые ванночки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при ЛОР патологии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Гастроэнтерологические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отваром трав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мин. водой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пантогематогеном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сифонное орошение кишечника минеральной водой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сифонное орошение кишечника травами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очистительные клизмы*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слепое зондирование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Гинекологический кабинет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ванночки + влагалищные тампоны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влагалищные тампоны с лекарственными веществами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физиолечение</w:t>
      </w:r>
      <w:proofErr w:type="spellEnd"/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Урологические процедуры: </w:t>
      </w:r>
      <w:proofErr w:type="spellStart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парауретральные</w:t>
      </w:r>
      <w:proofErr w:type="spellEnd"/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тампоны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тампоны задней уретры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инстилляции мочевого пузыря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тампоны уретры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ЛОР кабинет: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пневмомассаж барабанных перепонок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обработка уха*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орошение миндалин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капли в 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нос, *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промывание слуховых проходов*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промывание гайморовых пазух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лечение ультразвуком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врачебные манипуляции*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 курсовой схемы лечения нет, количество процедур определяется степенью тяжести заболевания и характером течения процесса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4. На весь курс лечения</w:t>
      </w:r>
      <w:r w:rsidR="001801A1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Климатотерапия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Терренкур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Питье минеральной воды*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Лечебная физкультура: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групповая*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индивидуальная**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механотерапия**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Лечебно-оздоровительный комплекс (сауна, бассейн, тренажерный зал) 1 раз в неделю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Примечание: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 по назначению лечащего врача при наличии показаний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sz w:val="14"/>
          <w:szCs w:val="14"/>
          <w:lang w:eastAsia="ru-RU"/>
        </w:rPr>
        <w:t xml:space="preserve">** по назначению врача ЛФК 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5. По показаниям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Кабинет психотерапии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комбинированная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индивидуальная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гипнотерапия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суггестивная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музыкотерапия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рациональная психотерапия*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аутотренинг*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2. Кабинет иглорефлексотерапии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корпоральная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рефлексотерапия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аурикулярная 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рефлексотерапия, 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лечебные медикаментозные блокады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микроиглорефлексотерапия</w:t>
      </w:r>
      <w:proofErr w:type="spellEnd"/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Стоматологический кабинет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стоматологическое обследование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удаление зубного камня, пигментации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флюоризация зубов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устранение местных раздражающих факторов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лечение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парадонтоза</w:t>
      </w:r>
      <w:proofErr w:type="spellEnd"/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лечение острой зубной боли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Оказание неотложной медицинской помощи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* курсовой схемы лечения нет, количество процедур определяется степенью тяжести и характером течения заболевания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** назначается в сочетании с </w:t>
      </w:r>
      <w:proofErr w:type="spellStart"/>
      <w:r w:rsidRPr="00291F35">
        <w:rPr>
          <w:rFonts w:ascii="Arial" w:eastAsia="Times New Roman" w:hAnsi="Arial" w:cs="Arial"/>
          <w:sz w:val="14"/>
          <w:szCs w:val="14"/>
          <w:lang w:eastAsia="ru-RU"/>
        </w:rPr>
        <w:t>корпоральной</w:t>
      </w:r>
      <w:proofErr w:type="spellEnd"/>
      <w:r w:rsidRPr="00291F35">
        <w:rPr>
          <w:rFonts w:ascii="Arial" w:eastAsia="Times New Roman" w:hAnsi="Arial" w:cs="Arial"/>
          <w:sz w:val="14"/>
          <w:szCs w:val="14"/>
          <w:lang w:eastAsia="ru-RU"/>
        </w:rPr>
        <w:t xml:space="preserve"> рефлексотерапией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6. Диагностические исследования (по показаниям)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sz w:val="20"/>
          <w:szCs w:val="20"/>
          <w:lang w:eastAsia="ru-RU"/>
        </w:rPr>
        <w:t>Лабораторные методы исследования: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1) Общеклинические исследования (крови):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СОЭ, лейкоциты, гемоглобин, лейкоцитарная формула (крови), эритроциты (крови), тромбоциты, цветовой показатель, свертываемость крови по Сухареву, длительность кровотечения по 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Дуке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ретикулоциты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2) Общеклинические анализы: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Общий анализ мочи, количественные определения белка, глюкозы, определение билирубина, ацетона в моче, анализ мочи по 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Зимницкому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, по Нечипоренко.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Исследование кала на яйца глистов,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копрограмма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на скрытую кровь,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стеркобилин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Исследование на определение возбудителей, передаваемых половым путем: на трихомонады, гонококки, влагалищного содержимого, уретры.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Исследования сока простаты.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Спермограмма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Исследование на грибковые заболевания (волосы, чешуйки, ногти).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3) Иммуноферментные методы исследование гормонов: 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Гормоны щитовидной железы *: (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трийодтиронин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Т3, тиреотропный гормон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ТТГ, тироксин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Т4, антитела к 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тиреопероксидазе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Гормоны репродуктивной функции *: (пролактин, тестостерон, антиспермальные антитела, ПСА общий)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Инфекции и паразитарные инвазии *: (хламидиоз, трихомониаз,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уреаплазма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, микоплазма, герпес 2 типа)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Серологические исследования: УРС (ускоренная реакция на сифилис)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Биохимические исследования:(Холестерин общий, В-липопротеиды, Холестерин в L-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липопротеидах,Триглицериды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Тромбиновое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время,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Протромбиновый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индекс, АЧТВ, Фибриноген,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Сиаловая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проба, О-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стрептолизин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Ревматоидный факто, С-реактивный белок, Билирубин общий (прямой, непрямой), креатин, Амилаза крови, Амилаза мочи,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Трансаминазы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(АСТ, АЛТ),Сахар крови, Мочевина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крови,Тимоловая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проба, Общий белок, Белковые фракции, Альбумины (L Глобулины В глобулины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Глобулины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Коэффициент Альбумины Глобулины), Щелочная фосфатаза, Кислота мочевая (крови), Кальций крови,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Тропанин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Т, Магний крови, Калий крови, Натрий крови, Альбумин, ЛПНП, ЛПНП, Индекс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атерогенности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Гликогемоглобин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Инструментальные исследования: 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1. Рентгенография</w:t>
      </w:r>
    </w:p>
    <w:p w:rsidR="004D43BC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2. Функциональная диагностика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ЭКГ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РЭГ (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реоэнцефалография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РВГ (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реовазография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ТПРГ (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тетраполярная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реография)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Органная реография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ЭЭГ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электроэнцефалография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Спирография</w:t>
      </w:r>
    </w:p>
    <w:p w:rsidR="0006199D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3. Ультразвуковая диагностика* </w:t>
      </w:r>
    </w:p>
    <w:p w:rsidR="0006199D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ru-RU"/>
        </w:rPr>
        <w:t>Консультации:</w:t>
      </w:r>
      <w:r w:rsidRPr="00291F35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Врач: восстановительной медицины, гастроэнтеролог, гинеколог,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дерматовенеролог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диетолог, кардиолог, КФД, ЛФК, невролог, ортопед-травматолог, отоларинголог, офтальмолог, психотерапевт, </w:t>
      </w:r>
      <w:proofErr w:type="spellStart"/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рефлексотерапевт</w:t>
      </w:r>
      <w:proofErr w:type="spellEnd"/>
      <w:r w:rsidRPr="00291F35">
        <w:rPr>
          <w:rFonts w:ascii="Arial" w:eastAsia="Times New Roman" w:hAnsi="Arial" w:cs="Arial"/>
          <w:sz w:val="20"/>
          <w:szCs w:val="20"/>
          <w:lang w:eastAsia="ru-RU"/>
        </w:rPr>
        <w:t>, педиатр, пульмонолог, стоматолог, терапевт (первичный прием), терапевт (повторный прием), уролог, физиотерапевт, эндокринолог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*Указанные методы исследования учитываются в стоимость путевки только в соответствии с ее профилем. Во всех других случаях не входит в стоимость лечения.</w:t>
      </w:r>
    </w:p>
    <w:p w:rsidR="0081670E" w:rsidRPr="00291F35" w:rsidRDefault="0081670E" w:rsidP="00C150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417A" w:rsidRPr="00291F35" w:rsidRDefault="00A0417A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Процедуры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 </w:t>
      </w: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>входящие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стоимость лечения по </w:t>
      </w:r>
    </w:p>
    <w:p w:rsidR="00A0417A" w:rsidRDefault="00A0417A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>санаторно-курортной путевке курорт Белокуриха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Гидроколонотерапия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Пантовая паровая мини-сауна</w:t>
      </w:r>
      <w:bookmarkStart w:id="0" w:name="_GoBack"/>
      <w:bookmarkEnd w:id="0"/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Фитобочка</w:t>
      </w:r>
      <w:proofErr w:type="spellEnd"/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Фиточаи</w:t>
      </w:r>
      <w:proofErr w:type="spellEnd"/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УФО «СОЛАНА»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Тонзиллор</w:t>
      </w:r>
      <w:proofErr w:type="spellEnd"/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табакокурения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Сауна, бассейн, джакузи (сверх установленного)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 с водным экстрактом пантового сырья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Мануальная терапия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Ударно-волновая терапия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Озонотерапия</w:t>
      </w:r>
      <w:proofErr w:type="spellEnd"/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Ультразвуковая чистка зубов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SPA-процедуры (втирание косметических средств,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пилинг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тела)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все виды исследований (не по профилю путевки)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Гормоны щитовидной железы (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трийодтиронин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—Т3, тиреотропный гормон — ТТГ, тироксин — Т4, антитела к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тиреопероксидазе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Гормоны репродуктивной функции (пролактин, тестостерон, антиспермальные антитела, эстроген,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эстрадиол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Онкомаркеры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(ПСА общий, СА 125, РЭА, АПФ, ХГ, СА19-9)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Инфекции и паразитарные инвазии (хламидиоз, трихомониаз,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уреаплазма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микоплазма, герпес 2 типа,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Helicobacter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pylori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описторхоз,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лямблиоз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токсокароз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аскаридоз, кал методом флотации) 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Суточное </w:t>
      </w: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 и ЭКГ</w:t>
      </w:r>
    </w:p>
    <w:p w:rsidR="0057187C" w:rsidRPr="0057187C" w:rsidRDefault="0057187C" w:rsidP="005718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Мезопунктура</w:t>
      </w:r>
      <w:proofErr w:type="spellEnd"/>
      <w:r w:rsidRPr="00571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187C" w:rsidRPr="00291F35" w:rsidRDefault="0057187C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7187C" w:rsidRPr="00291F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D8" w:rsidRDefault="00B07ED8" w:rsidP="0006199D">
      <w:pPr>
        <w:spacing w:after="0" w:line="240" w:lineRule="auto"/>
      </w:pPr>
      <w:r>
        <w:separator/>
      </w:r>
    </w:p>
  </w:endnote>
  <w:endnote w:type="continuationSeparator" w:id="0">
    <w:p w:rsidR="00B07ED8" w:rsidRDefault="00B07ED8" w:rsidP="0006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26185"/>
      <w:docPartObj>
        <w:docPartGallery w:val="Page Numbers (Bottom of Page)"/>
        <w:docPartUnique/>
      </w:docPartObj>
    </w:sdtPr>
    <w:sdtEndPr/>
    <w:sdtContent>
      <w:p w:rsidR="0006199D" w:rsidRDefault="000619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7C">
          <w:rPr>
            <w:noProof/>
          </w:rPr>
          <w:t>3</w:t>
        </w:r>
        <w:r>
          <w:fldChar w:fldCharType="end"/>
        </w:r>
      </w:p>
    </w:sdtContent>
  </w:sdt>
  <w:p w:rsidR="0006199D" w:rsidRDefault="0006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D8" w:rsidRDefault="00B07ED8" w:rsidP="0006199D">
      <w:pPr>
        <w:spacing w:after="0" w:line="240" w:lineRule="auto"/>
      </w:pPr>
      <w:r>
        <w:separator/>
      </w:r>
    </w:p>
  </w:footnote>
  <w:footnote w:type="continuationSeparator" w:id="0">
    <w:p w:rsidR="00B07ED8" w:rsidRDefault="00B07ED8" w:rsidP="0006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9D" w:rsidRDefault="00291F35">
    <w:pPr>
      <w:pStyle w:val="a4"/>
    </w:pPr>
    <w:r>
      <w:rPr>
        <w:noProof/>
        <w:lang w:eastAsia="ru-RU"/>
      </w:rPr>
      <w:drawing>
        <wp:inline distT="0" distB="0" distL="0" distR="0" wp14:anchorId="0737D552" wp14:editId="03FF5547">
          <wp:extent cx="5940425" cy="707193"/>
          <wp:effectExtent l="0" t="0" r="3175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23D"/>
    <w:multiLevelType w:val="multilevel"/>
    <w:tmpl w:val="A5A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16DD"/>
    <w:multiLevelType w:val="multilevel"/>
    <w:tmpl w:val="97EC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1EB7"/>
    <w:multiLevelType w:val="multilevel"/>
    <w:tmpl w:val="FDC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0785"/>
    <w:multiLevelType w:val="multilevel"/>
    <w:tmpl w:val="47E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F2FB1"/>
    <w:multiLevelType w:val="multilevel"/>
    <w:tmpl w:val="B02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5060B"/>
    <w:multiLevelType w:val="multilevel"/>
    <w:tmpl w:val="E3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A3A51"/>
    <w:multiLevelType w:val="multilevel"/>
    <w:tmpl w:val="DF4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2FE1"/>
    <w:multiLevelType w:val="multilevel"/>
    <w:tmpl w:val="2FD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581E"/>
    <w:multiLevelType w:val="multilevel"/>
    <w:tmpl w:val="721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843F8"/>
    <w:multiLevelType w:val="multilevel"/>
    <w:tmpl w:val="6252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76C54"/>
    <w:multiLevelType w:val="multilevel"/>
    <w:tmpl w:val="633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E7E52"/>
    <w:multiLevelType w:val="multilevel"/>
    <w:tmpl w:val="C20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31C09"/>
    <w:multiLevelType w:val="multilevel"/>
    <w:tmpl w:val="6E3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535A3"/>
    <w:multiLevelType w:val="multilevel"/>
    <w:tmpl w:val="B73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8533A"/>
    <w:multiLevelType w:val="multilevel"/>
    <w:tmpl w:val="313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57391"/>
    <w:multiLevelType w:val="multilevel"/>
    <w:tmpl w:val="AD2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94031"/>
    <w:multiLevelType w:val="multilevel"/>
    <w:tmpl w:val="BCF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B21D3"/>
    <w:multiLevelType w:val="multilevel"/>
    <w:tmpl w:val="A67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D23B3"/>
    <w:multiLevelType w:val="multilevel"/>
    <w:tmpl w:val="96E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C"/>
    <w:rsid w:val="0006199D"/>
    <w:rsid w:val="00076EC2"/>
    <w:rsid w:val="001801A1"/>
    <w:rsid w:val="001D684E"/>
    <w:rsid w:val="00291F35"/>
    <w:rsid w:val="00397329"/>
    <w:rsid w:val="00444E80"/>
    <w:rsid w:val="00494EBA"/>
    <w:rsid w:val="004D43BC"/>
    <w:rsid w:val="00564E42"/>
    <w:rsid w:val="0057187C"/>
    <w:rsid w:val="007F64B6"/>
    <w:rsid w:val="0081670E"/>
    <w:rsid w:val="009023A3"/>
    <w:rsid w:val="009066CF"/>
    <w:rsid w:val="00A035F9"/>
    <w:rsid w:val="00A0417A"/>
    <w:rsid w:val="00B07ED8"/>
    <w:rsid w:val="00C150A5"/>
    <w:rsid w:val="00CB3032"/>
    <w:rsid w:val="00D874D7"/>
    <w:rsid w:val="00E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1278F-6D01-44B0-BE9C-E4ACFAB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9D"/>
  </w:style>
  <w:style w:type="paragraph" w:styleId="a6">
    <w:name w:val="footer"/>
    <w:basedOn w:val="a"/>
    <w:link w:val="a7"/>
    <w:uiPriority w:val="99"/>
    <w:unhideWhenUsed/>
    <w:rsid w:val="0006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9D"/>
  </w:style>
  <w:style w:type="character" w:customStyle="1" w:styleId="apple-converted-space">
    <w:name w:val="apple-converted-space"/>
    <w:basedOn w:val="a0"/>
    <w:rsid w:val="0057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</cp:revision>
  <cp:lastPrinted>2014-10-07T06:39:00Z</cp:lastPrinted>
  <dcterms:created xsi:type="dcterms:W3CDTF">2014-11-01T07:04:00Z</dcterms:created>
  <dcterms:modified xsi:type="dcterms:W3CDTF">2014-11-03T07:26:00Z</dcterms:modified>
</cp:coreProperties>
</file>